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F80394"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F80394"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0498404"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19/2/2024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1726</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3</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Παρασκευή 23 Φεβρουαρίου 2024 και ώρα 12:00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4DE27423" w14:textId="080B4FD4" w:rsidR="00EA7924" w:rsidRPr="00F80394" w:rsidRDefault="00EA7924" w:rsidP="0092705A">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EC4F7B">
            <w:pPr>
              <w:pStyle w:val="Default"/>
              <w:spacing w:line="360" w:lineRule="auto"/>
              <w:jc w:val="both"/>
              <w:rPr>
                <w:rFonts w:ascii="Calibri" w:hAnsi="Calibri" w:cs="Calibri"/>
                <w:b/>
                <w:bCs/>
                <w:color w:val="002060"/>
                <w:sz w:val="22"/>
                <w:szCs w:val="22"/>
              </w:rPr>
            </w:pPr>
            <w:bookmarkStart w:id="2" w:name="_GoBack"/>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EC4F7B">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754CAD48" w:rsidR="005B16AE" w:rsidRPr="00BA5D7B" w:rsidRDefault="00BA5D7B" w:rsidP="00EC4F7B">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Απόφαση παράτασης της διαγωνιστικής διαδικασίας της μελέτης με τίτλο: «Μελέτες έργων ολοκλήρωσης εσωτερικού δικτύου αποχέτευσης οικισμού Αλιάρτου, συλλογής και μεταφοράς ακαθάρτων οικισμών “Πέτρα” και “Μάζι” και αναβάθμισης- διαρρύθμισης ΕΕΛ Αλιάρτου» του Δήμου Αλιάρτου –Θεσπιέων.</w:t>
      </w:r>
    </w:p>
    <w:p w14:paraId="17F9D219" w14:textId="77777777" w:rsidR="005B16AE" w:rsidRPr="00BA5D7B" w:rsidRDefault="00BA5D7B" w:rsidP="00EC4F7B">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 xml:space="preserve">Περί έγκρισης πρακτικού Ι της 1ης Συνεδρίασης Ηλεκτρονικής Αποσφράγισης των προσφορών ελέγχου εγγυητικών επιστολών συμμετοχής και λήψη απόφασης απόρριψης προσφοράς της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w:t>
      </w:r>
      <w:r w:rsidRPr="00BA5D7B">
        <w:rPr>
          <w:rFonts w:asciiTheme="minorHAnsi" w:hAnsiTheme="minorHAnsi" w:cstheme="minorHAnsi"/>
          <w:iCs/>
          <w:sz w:val="22"/>
          <w:szCs w:val="22"/>
        </w:rPr>
        <w:lastRenderedPageBreak/>
        <w:t>προσφορά με βάση την τιμή μέσω του Εθνικού Συστήματος Ηλεκτρονικών Δημοσίων Συμβάσεων (Ε.Σ.Η.ΔΗ.Σ.) για την επιλογή αναδόχου κατασκευής έργου: «Ανάπλαση κεντρικής πλατείας ΤΚ Σωληναρίου &amp;amp; ΤΚ Υψηλάντη του Δήμου Αλιάρτου - Θεσπιέων» του Δήμου Αλίαρτου - Θεσπιέων προϋπολογισμού 275.875,77 ευρώ συμπ Φ.Π.Α. 24%»</w:t>
      </w:r>
    </w:p>
    <w:p w14:paraId="65FDC7A5" w14:textId="77777777" w:rsidR="005B16AE" w:rsidRPr="00BA5D7B" w:rsidRDefault="00BA5D7B" w:rsidP="00EC4F7B">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και κατανομής του ποσού των 25.611,52€ που αφορά την κάλυψη λειτουργικών δαπανών των σχολείων πρωτοβάθμιας &amp;amp; δευτεροβάθμιας εκπαίδευσης έτους 2024 (Α κατανομή).</w:t>
      </w:r>
    </w:p>
    <w:p w14:paraId="53E0F87B" w14:textId="77777777" w:rsidR="005B16AE" w:rsidRPr="00BA5D7B" w:rsidRDefault="00BA5D7B" w:rsidP="00EC4F7B">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του ποσού των 135.406,37€ που αφορά την Α΄ κατανομή έτους 2024.</w:t>
      </w:r>
    </w:p>
    <w:p w14:paraId="78A963F7" w14:textId="77777777" w:rsidR="005B16AE" w:rsidRPr="00BA5D7B" w:rsidRDefault="00BA5D7B" w:rsidP="00EC4F7B">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λήψης απόφασης ένταξης της πράξης με τίτλο: ΄΄AΝΑΠΛΑΣΗ ΚΥΡΙΟΥ ΟΔΙΚΟΥ ΑΞΟΝΑ ΤΗΣ ΠΟΛΗΣ ΤΗΣ ΑΛΙΑΡΤΟΥ ΣΤΗΝ ΕΠΙΚΑΙΡΟΠΟΙΗΜΕΝΗ ΣΤΑΡΤΗΓΙΚΗ ΒΙΩΣΙΜΗΣ ΑΣΤΙΚΗΣ ΑΝΑΠΤΥΞΗΣ ΤΟΥ ΔΗΜΟΥ ΑΛΙΑΡΤΟΥ - ΘΕΣΠΙΕΩΝ΄΄.</w:t>
      </w:r>
    </w:p>
    <w:p w14:paraId="57587533" w14:textId="664BC485" w:rsidR="00E15CEB" w:rsidRPr="00C908BC" w:rsidRDefault="00E15CEB" w:rsidP="00EC4F7B">
      <w:pPr>
        <w:pStyle w:val="a9"/>
        <w:numPr>
          <w:ilvl w:val="0"/>
          <w:numId w:val="2"/>
        </w:numPr>
        <w:spacing w:after="160" w:line="360" w:lineRule="auto"/>
        <w:ind w:left="284" w:firstLine="256"/>
        <w:jc w:val="both"/>
        <w:rPr>
          <w:rStyle w:val="a3"/>
          <w:rFonts w:ascii="Calibri" w:hAnsi="Calibri" w:cs="Calibri"/>
          <w:iCs/>
          <w:sz w:val="22"/>
          <w:szCs w:val="22"/>
        </w:rPr>
      </w:pPr>
    </w:p>
    <w:p w14:paraId="00545CB6" w14:textId="24F2DB14" w:rsidR="00A3725D" w:rsidRPr="00C908BC" w:rsidRDefault="00A3725D" w:rsidP="00EC4F7B">
      <w:pPr>
        <w:pStyle w:val="a9"/>
        <w:numPr>
          <w:ilvl w:val="0"/>
          <w:numId w:val="2"/>
        </w:numPr>
        <w:spacing w:after="160" w:line="360" w:lineRule="auto"/>
        <w:ind w:left="284" w:firstLine="256"/>
        <w:jc w:val="both"/>
        <w:rPr>
          <w:rStyle w:val="a3"/>
          <w:rFonts w:ascii="Calibri" w:hAnsi="Calibri" w:cs="Calibri"/>
          <w:iCs/>
          <w:sz w:val="22"/>
          <w:szCs w:val="22"/>
        </w:rPr>
      </w:pPr>
    </w:p>
    <w:p w14:paraId="3F7556AF" w14:textId="77777777" w:rsidR="00A3725D" w:rsidRDefault="001A21F4" w:rsidP="00EC4F7B">
      <w:pPr>
        <w:widowControl w:val="0"/>
        <w:tabs>
          <w:tab w:val="left" w:pos="6081"/>
        </w:tabs>
        <w:autoSpaceDE w:val="0"/>
        <w:autoSpaceDN w:val="0"/>
        <w:adjustRightInd w:val="0"/>
        <w:spacing w:after="0" w:line="360" w:lineRule="auto"/>
        <w:jc w:val="both"/>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60AE475C"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18F48664"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77D4685E"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2AB4C746"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744D9C46"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60710D15" w14:textId="77777777" w:rsidR="00A3725D" w:rsidRDefault="00A3725D" w:rsidP="00EC4F7B">
            <w:pPr>
              <w:widowControl w:val="0"/>
              <w:tabs>
                <w:tab w:val="left" w:pos="15"/>
              </w:tabs>
              <w:autoSpaceDE w:val="0"/>
              <w:autoSpaceDN w:val="0"/>
              <w:adjustRightInd w:val="0"/>
              <w:spacing w:after="0" w:line="360" w:lineRule="auto"/>
              <w:jc w:val="both"/>
              <w:rPr>
                <w:rFonts w:cs="Cambria"/>
                <w:b/>
                <w:bCs/>
                <w:color w:val="000000"/>
              </w:rPr>
            </w:pPr>
          </w:p>
          <w:p w14:paraId="6C0FCEF2" w14:textId="77777777" w:rsidR="00A3725D" w:rsidRDefault="00A3725D" w:rsidP="00EC4F7B">
            <w:pPr>
              <w:spacing w:after="0" w:line="360" w:lineRule="auto"/>
              <w:ind w:left="1364"/>
              <w:jc w:val="both"/>
              <w:rPr>
                <w:rFonts w:cs="Cambria"/>
                <w:b/>
                <w:bCs/>
                <w:color w:val="000000"/>
              </w:rPr>
            </w:pPr>
          </w:p>
        </w:tc>
        <w:tc>
          <w:tcPr>
            <w:tcW w:w="3434" w:type="dxa"/>
          </w:tcPr>
          <w:p w14:paraId="3582FE78" w14:textId="79C052B0" w:rsidR="00A3725D" w:rsidRDefault="001A21F4" w:rsidP="00EC4F7B">
            <w:pPr>
              <w:pStyle w:val="Default"/>
              <w:spacing w:line="360" w:lineRule="auto"/>
              <w:jc w:val="both"/>
              <w:rPr>
                <w:rFonts w:asciiTheme="minorHAnsi" w:hAnsiTheme="minorHAnsi" w:cstheme="minorHAnsi"/>
                <w:sz w:val="22"/>
                <w:szCs w:val="22"/>
              </w:rPr>
            </w:pPr>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rsidP="00EC4F7B">
            <w:pPr>
              <w:widowControl w:val="0"/>
              <w:tabs>
                <w:tab w:val="left" w:pos="5991"/>
              </w:tabs>
              <w:autoSpaceDE w:val="0"/>
              <w:autoSpaceDN w:val="0"/>
              <w:adjustRightInd w:val="0"/>
              <w:spacing w:after="0" w:line="360" w:lineRule="auto"/>
              <w:jc w:val="both"/>
              <w:rPr>
                <w:rFonts w:cs="Calibri"/>
                <w:b/>
                <w:bCs/>
              </w:rPr>
            </w:pPr>
          </w:p>
          <w:p w14:paraId="42F55284" w14:textId="77777777" w:rsidR="00A3725D" w:rsidRDefault="00A3725D" w:rsidP="00EC4F7B">
            <w:pPr>
              <w:pStyle w:val="20"/>
              <w:spacing w:after="0" w:line="360" w:lineRule="auto"/>
              <w:jc w:val="both"/>
              <w:rPr>
                <w:rFonts w:asciiTheme="minorHAnsi" w:hAnsiTheme="minorHAnsi" w:cs="Calibri"/>
                <w:b/>
                <w:bCs/>
              </w:rPr>
            </w:pPr>
          </w:p>
          <w:p w14:paraId="586B674C" w14:textId="77777777" w:rsidR="00A3725D" w:rsidRDefault="00A3725D" w:rsidP="00EC4F7B">
            <w:pPr>
              <w:pStyle w:val="20"/>
              <w:spacing w:after="0" w:line="360" w:lineRule="auto"/>
              <w:jc w:val="both"/>
              <w:rPr>
                <w:rFonts w:asciiTheme="minorHAnsi" w:hAnsiTheme="minorHAnsi" w:cs="Calibri"/>
                <w:b/>
                <w:bCs/>
              </w:rPr>
            </w:pPr>
          </w:p>
          <w:p w14:paraId="2B66A42E" w14:textId="77777777" w:rsidR="00A3725D" w:rsidRDefault="00A3725D" w:rsidP="00EC4F7B">
            <w:pPr>
              <w:pStyle w:val="20"/>
              <w:tabs>
                <w:tab w:val="left" w:pos="2460"/>
              </w:tabs>
              <w:spacing w:after="0" w:line="360" w:lineRule="auto"/>
              <w:jc w:val="both"/>
              <w:rPr>
                <w:rFonts w:asciiTheme="minorHAnsi" w:hAnsiTheme="minorHAnsi" w:cs="Calibri"/>
                <w:b/>
                <w:bCs/>
              </w:rPr>
            </w:pPr>
          </w:p>
          <w:p w14:paraId="1BB53CD3" w14:textId="77777777" w:rsidR="00A3725D" w:rsidRPr="009D3758" w:rsidRDefault="001A21F4" w:rsidP="00EC4F7B">
            <w:pPr>
              <w:pStyle w:val="1"/>
              <w:spacing w:line="360" w:lineRule="auto"/>
              <w:jc w:val="both"/>
              <w:rPr>
                <w:b/>
                <w:bCs/>
              </w:rPr>
            </w:pPr>
            <w:r w:rsidRPr="006E053A">
              <w:rPr>
                <w:rFonts w:asciiTheme="minorHAnsi" w:hAnsiTheme="minorHAnsi" w:cstheme="minorHAnsi"/>
                <w:sz w:val="22"/>
                <w:szCs w:val="22"/>
              </w:rPr>
              <w:t>ΑΡΑΠΙΤΣΑΣ ΓΕΩΡΓΙΟΣ</w:t>
            </w:r>
          </w:p>
          <w:p w14:paraId="12EB2267" w14:textId="77777777" w:rsidR="00A3725D" w:rsidRDefault="00A3725D" w:rsidP="00EC4F7B">
            <w:pPr>
              <w:pStyle w:val="1"/>
              <w:spacing w:line="360" w:lineRule="auto"/>
              <w:jc w:val="both"/>
              <w:rPr>
                <w:rFonts w:asciiTheme="minorHAnsi" w:hAnsiTheme="minorHAnsi"/>
                <w:b/>
                <w:color w:val="1F3864" w:themeColor="accent5" w:themeShade="80"/>
                <w:sz w:val="22"/>
                <w:szCs w:val="22"/>
              </w:rPr>
            </w:pPr>
          </w:p>
          <w:p w14:paraId="61938249" w14:textId="77777777" w:rsidR="00A3725D" w:rsidRDefault="00A3725D" w:rsidP="00EC4F7B">
            <w:pPr>
              <w:widowControl w:val="0"/>
              <w:tabs>
                <w:tab w:val="left" w:pos="5991"/>
              </w:tabs>
              <w:autoSpaceDE w:val="0"/>
              <w:autoSpaceDN w:val="0"/>
              <w:adjustRightInd w:val="0"/>
              <w:spacing w:after="0" w:line="360" w:lineRule="auto"/>
              <w:jc w:val="both"/>
              <w:rPr>
                <w:rFonts w:cs="Cambria"/>
                <w:b/>
                <w:bCs/>
                <w:color w:val="000000"/>
              </w:rPr>
            </w:pPr>
          </w:p>
        </w:tc>
        <w:tc>
          <w:tcPr>
            <w:tcW w:w="1212" w:type="dxa"/>
          </w:tcPr>
          <w:p w14:paraId="72FA258D" w14:textId="77777777" w:rsidR="00A3725D" w:rsidRDefault="00A3725D" w:rsidP="00EC4F7B">
            <w:pPr>
              <w:widowControl w:val="0"/>
              <w:tabs>
                <w:tab w:val="left" w:pos="5991"/>
              </w:tabs>
              <w:autoSpaceDE w:val="0"/>
              <w:autoSpaceDN w:val="0"/>
              <w:adjustRightInd w:val="0"/>
              <w:spacing w:after="0" w:line="360" w:lineRule="auto"/>
              <w:jc w:val="both"/>
              <w:rPr>
                <w:rFonts w:cs="Calibri"/>
                <w:b/>
                <w:bCs/>
                <w:i/>
              </w:rPr>
            </w:pPr>
          </w:p>
        </w:tc>
      </w:tr>
    </w:tbl>
    <w:bookmarkEnd w:id="2"/>
    <w:p w14:paraId="11D722C0" w14:textId="7E42AE60" w:rsidR="00A3725D" w:rsidRDefault="001A21F4">
      <w:pPr>
        <w:pStyle w:val="21"/>
        <w:widowControl w:val="0"/>
        <w:autoSpaceDE w:val="0"/>
        <w:autoSpaceDN w:val="0"/>
        <w:adjustRightInd w:val="0"/>
        <w:rPr>
          <w:rFonts w:ascii="Calibri" w:hAnsi="Calibri" w:cs="Calibri"/>
          <w:bCs/>
          <w:i/>
          <w:color w:val="002060"/>
        </w:rPr>
      </w:pPr>
      <w:r>
        <w:rPr>
          <w:lang w:val="el-GR"/>
        </w:rPr>
        <w:t xml:space="preserve">                                                   </w:t>
      </w:r>
      <w: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435EF" w14:textId="77777777" w:rsidR="00E602D3" w:rsidRDefault="00E602D3">
      <w:pPr>
        <w:spacing w:line="240" w:lineRule="auto"/>
      </w:pPr>
      <w:r>
        <w:separator/>
      </w:r>
    </w:p>
  </w:endnote>
  <w:endnote w:type="continuationSeparator" w:id="0">
    <w:p w14:paraId="70437169" w14:textId="77777777" w:rsidR="00E602D3" w:rsidRDefault="00E60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613DBB3D"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EC4F7B">
          <w:rPr>
            <w:noProof/>
          </w:rPr>
          <w:t>1</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2AC5" w14:textId="77777777" w:rsidR="00E602D3" w:rsidRDefault="00E602D3">
      <w:pPr>
        <w:spacing w:after="0"/>
      </w:pPr>
      <w:r>
        <w:separator/>
      </w:r>
    </w:p>
  </w:footnote>
  <w:footnote w:type="continuationSeparator" w:id="0">
    <w:p w14:paraId="388D8BBD" w14:textId="77777777" w:rsidR="00E602D3" w:rsidRDefault="00E602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02D3"/>
    <w:rsid w:val="00E65AA5"/>
    <w:rsid w:val="00E67CF7"/>
    <w:rsid w:val="00E73137"/>
    <w:rsid w:val="00E735F0"/>
    <w:rsid w:val="00E90447"/>
    <w:rsid w:val="00E95CBD"/>
    <w:rsid w:val="00E96BD5"/>
    <w:rsid w:val="00EA48C1"/>
    <w:rsid w:val="00EA7924"/>
    <w:rsid w:val="00EB382E"/>
    <w:rsid w:val="00EB3D78"/>
    <w:rsid w:val="00EB4831"/>
    <w:rsid w:val="00EC4F7B"/>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C0" w:rsidRDefault="009B18C0">
      <w:pPr>
        <w:spacing w:line="240" w:lineRule="auto"/>
      </w:pPr>
      <w:r>
        <w:separator/>
      </w:r>
    </w:p>
  </w:endnote>
  <w:endnote w:type="continuationSeparator" w:id="0">
    <w:p w:rsidR="009B18C0" w:rsidRDefault="009B18C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C0" w:rsidRDefault="009B18C0">
      <w:pPr>
        <w:spacing w:after="0"/>
      </w:pPr>
      <w:r>
        <w:separator/>
      </w:r>
    </w:p>
  </w:footnote>
  <w:footnote w:type="continuationSeparator" w:id="0">
    <w:p w:rsidR="009B18C0" w:rsidRDefault="009B18C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18C0"/>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6BEDD-E295-4633-8174-5C606D0A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381</Words>
  <Characters>2063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37</cp:revision>
  <cp:lastPrinted>2024-10-15T08:52:00Z</cp:lastPrinted>
  <dcterms:created xsi:type="dcterms:W3CDTF">2024-01-26T11:27:00Z</dcterms:created>
  <dcterms:modified xsi:type="dcterms:W3CDTF">2024-10-15T08:54:00Z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